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okumentopavadinimas"/>
        <w:ind w:left="3744" w:firstLine="1296"/>
        <w:jc w:val="both"/>
        <w:rPr>
          <w:szCs w:val="24"/>
          <w:lang w:val="lt-LT"/>
        </w:rPr>
      </w:pPr>
      <w:r>
        <w:rPr>
          <w:szCs w:val="24"/>
        </w:rPr>
        <w:t>PA</w:t>
      </w:r>
      <w:r>
        <w:rPr>
          <w:szCs w:val="24"/>
          <w:lang w:val="lt-LT"/>
        </w:rPr>
        <w:t>TVIRTINTA</w:t>
      </w:r>
    </w:p>
    <w:p>
      <w:pPr>
        <w:pStyle w:val="Dokumentopavadinimas"/>
        <w:ind w:left="5040" w:hanging="0"/>
        <w:jc w:val="both"/>
        <w:rPr>
          <w:szCs w:val="24"/>
          <w:lang w:val="lt-LT"/>
        </w:rPr>
      </w:pPr>
      <w:r>
        <w:rPr>
          <w:szCs w:val="24"/>
          <w:lang w:val="lt-LT"/>
        </w:rPr>
        <w:t>Kaišiadorių r. Rumšiškių Antano Baranausko</w:t>
      </w:r>
    </w:p>
    <w:p>
      <w:pPr>
        <w:pStyle w:val="Dokumentopavadinimas"/>
        <w:ind w:left="3744" w:firstLine="1296"/>
        <w:jc w:val="both"/>
        <w:rPr>
          <w:szCs w:val="24"/>
          <w:lang w:val="lt-LT"/>
        </w:rPr>
      </w:pPr>
      <w:r>
        <w:rPr>
          <w:szCs w:val="24"/>
          <w:lang w:val="lt-LT"/>
        </w:rPr>
        <w:t>gimnazijos direktoriaus</w:t>
      </w:r>
    </w:p>
    <w:p>
      <w:pPr>
        <w:pStyle w:val="Dokumentopavadinimas"/>
        <w:ind w:left="5040" w:hanging="0"/>
        <w:jc w:val="both"/>
        <w:rPr>
          <w:szCs w:val="24"/>
          <w:lang w:val="lt-LT"/>
        </w:rPr>
      </w:pPr>
      <w:r>
        <w:rPr>
          <w:szCs w:val="24"/>
          <w:lang w:val="lt-LT"/>
        </w:rPr>
        <w:t>2019 m. gruodžio 23 d. įsakymu Nr. V-172</w:t>
      </w:r>
    </w:p>
    <w:p>
      <w:pPr>
        <w:pStyle w:val="Normal"/>
        <w:spacing w:before="280" w:after="160"/>
        <w:jc w:val="center"/>
        <w:rPr>
          <w:rStyle w:val="SubtleEmphasis"/>
          <w:rFonts w:ascii="Times New Roman" w:hAnsi="Times New Roman"/>
          <w:b/>
          <w:b/>
          <w:i w:val="false"/>
          <w:i w:val="false"/>
          <w:color w:val="auto"/>
          <w:sz w:val="24"/>
          <w:szCs w:val="24"/>
        </w:rPr>
      </w:pPr>
      <w:r>
        <w:rPr>
          <w:rStyle w:val="SubtleEmphasis"/>
          <w:rFonts w:ascii="Times New Roman" w:hAnsi="Times New Roman"/>
          <w:b/>
          <w:i w:val="false"/>
          <w:color w:val="auto"/>
          <w:sz w:val="24"/>
          <w:szCs w:val="24"/>
        </w:rPr>
        <w:t>KAIŠIADORIŲ R. RUMŠIŠKIŲ ANTANO BARANAUSKO GIMNAZIJOS</w:t>
      </w:r>
      <w:r>
        <w:rPr>
          <w:rFonts w:cs="Times New Roman" w:ascii="Times New Roman" w:hAnsi="Times New Roman"/>
          <w:b/>
          <w:sz w:val="24"/>
          <w:szCs w:val="24"/>
        </w:rPr>
        <w:t xml:space="preserve"> SPECIALIOJO  PEDAGOGO </w:t>
      </w:r>
      <w:r>
        <w:rPr>
          <w:rStyle w:val="SubtleEmphasis"/>
          <w:rFonts w:ascii="Times New Roman" w:hAnsi="Times New Roman"/>
          <w:b/>
          <w:i w:val="false"/>
          <w:color w:val="auto"/>
          <w:sz w:val="24"/>
          <w:szCs w:val="24"/>
        </w:rPr>
        <w:t>PAREIGYBĖS APRAŠYMAS</w:t>
      </w:r>
    </w:p>
    <w:p>
      <w:pPr>
        <w:pStyle w:val="Default"/>
        <w:jc w:val="center"/>
        <w:rPr>
          <w:color w:val="auto"/>
        </w:rPr>
      </w:pPr>
      <w:r>
        <w:rPr>
          <w:b/>
          <w:bCs/>
          <w:color w:val="auto"/>
        </w:rPr>
        <w:t>I SKYRIUS</w:t>
      </w:r>
    </w:p>
    <w:p>
      <w:pPr>
        <w:pStyle w:val="Default"/>
        <w:jc w:val="center"/>
        <w:rPr>
          <w:b/>
          <w:b/>
          <w:bCs/>
          <w:color w:val="auto"/>
        </w:rPr>
      </w:pPr>
      <w:r>
        <w:rPr>
          <w:b/>
          <w:bCs/>
          <w:color w:val="auto"/>
        </w:rPr>
        <w:t>PAREIGYBĖ</w:t>
      </w:r>
    </w:p>
    <w:p>
      <w:pPr>
        <w:pStyle w:val="Default"/>
        <w:jc w:val="center"/>
        <w:rPr>
          <w:color w:val="auto"/>
        </w:rPr>
      </w:pPr>
      <w:r>
        <w:rPr>
          <w:color w:val="auto"/>
        </w:rPr>
      </w:r>
    </w:p>
    <w:p>
      <w:pPr>
        <w:pStyle w:val="Default"/>
        <w:spacing w:before="0" w:after="28"/>
        <w:ind w:firstLine="709"/>
        <w:jc w:val="both"/>
        <w:rPr>
          <w:color w:val="auto"/>
        </w:rPr>
      </w:pPr>
      <w:r>
        <w:rPr>
          <w:color w:val="auto"/>
        </w:rPr>
        <w:t xml:space="preserve">1. Kaišiadorių r. </w:t>
      </w:r>
      <w:r>
        <w:rPr>
          <w:rStyle w:val="SubtleEmphasis"/>
          <w:i w:val="false"/>
          <w:color w:val="auto"/>
        </w:rPr>
        <w:t>Rumšiškių Antano Baranausko gimnazijos</w:t>
      </w:r>
      <w:r>
        <w:rPr>
          <w:b/>
          <w:color w:val="auto"/>
        </w:rPr>
        <w:t xml:space="preserve"> </w:t>
      </w:r>
      <w:r>
        <w:rPr>
          <w:color w:val="auto"/>
        </w:rPr>
        <w:t xml:space="preserve">(toliau – gimnazija) specialusis pedagogas yra darbuotojas, dirbantis pagal darbo sutartį. Specialiojo pedagogo pareigybė priskiriama specialistų pareigybės grupei. </w:t>
      </w:r>
    </w:p>
    <w:p>
      <w:pPr>
        <w:pStyle w:val="Default"/>
        <w:ind w:firstLine="709"/>
        <w:jc w:val="both"/>
        <w:rPr/>
      </w:pPr>
      <w:r>
        <w:rPr/>
        <w:t xml:space="preserve">2. Pareigybės lygis – A2. </w:t>
      </w:r>
    </w:p>
    <w:p>
      <w:pPr>
        <w:pStyle w:val="Default"/>
        <w:ind w:firstLine="709"/>
        <w:jc w:val="both"/>
        <w:rPr/>
      </w:pPr>
      <w:r>
        <w:rPr/>
      </w:r>
    </w:p>
    <w:p>
      <w:pPr>
        <w:pStyle w:val="Default"/>
        <w:jc w:val="center"/>
        <w:rPr/>
      </w:pPr>
      <w:r>
        <w:rPr>
          <w:b/>
          <w:bCs/>
        </w:rPr>
        <w:t>II SKYRIUS</w:t>
      </w:r>
    </w:p>
    <w:p>
      <w:pPr>
        <w:pStyle w:val="Default"/>
        <w:jc w:val="center"/>
        <w:rPr>
          <w:b/>
          <w:b/>
          <w:bCs/>
        </w:rPr>
      </w:pPr>
      <w:r>
        <w:rPr>
          <w:b/>
          <w:bCs/>
        </w:rPr>
        <w:t>SPECIALŪS REIKALAVIMAI ŠIAIS PAREIGAS EINANČIAM DARBUOTOJUI</w:t>
      </w:r>
    </w:p>
    <w:p>
      <w:pPr>
        <w:pStyle w:val="Default"/>
        <w:rPr/>
      </w:pPr>
      <w:r>
        <w:rPr/>
      </w:r>
    </w:p>
    <w:p>
      <w:pPr>
        <w:pStyle w:val="Bodytext"/>
        <w:ind w:firstLine="720"/>
        <w:rPr>
          <w:rFonts w:ascii="Times New Roman" w:hAnsi="Times New Roman"/>
          <w:sz w:val="24"/>
          <w:szCs w:val="24"/>
          <w:lang w:val="lt-LT"/>
        </w:rPr>
      </w:pPr>
      <w:r>
        <w:rPr>
          <w:rFonts w:ascii="Times New Roman" w:hAnsi="Times New Roman"/>
          <w:sz w:val="24"/>
          <w:szCs w:val="24"/>
          <w:lang w:val="lt-LT"/>
        </w:rPr>
        <w:t>3. Aukštasis išsilavinimas ir specialiojo pedagogo profesinė kvalifikacija.</w:t>
      </w:r>
    </w:p>
    <w:p>
      <w:pPr>
        <w:pStyle w:val="Bodytext"/>
        <w:ind w:firstLine="720"/>
        <w:rPr>
          <w:rFonts w:ascii="Times New Roman" w:hAnsi="Times New Roman"/>
          <w:sz w:val="24"/>
          <w:szCs w:val="24"/>
          <w:lang w:val="lt-LT"/>
        </w:rPr>
      </w:pPr>
      <w:r>
        <w:rPr>
          <w:rFonts w:ascii="Times New Roman" w:hAnsi="Times New Roman"/>
          <w:sz w:val="24"/>
          <w:szCs w:val="24"/>
          <w:lang w:val="lt-LT"/>
        </w:rPr>
        <w:t>4.Išmanymas individualių programų rengimo principų, ikimokyklinio, priešmokyklinio ugdymo, bendrųjų, specialiųjų programų ir išsilavinimo standartų, bendrųjų ugdymo planų.</w:t>
      </w:r>
    </w:p>
    <w:p>
      <w:pPr>
        <w:pStyle w:val="Bodytext"/>
        <w:ind w:firstLine="720"/>
        <w:rPr>
          <w:rFonts w:ascii="Times New Roman" w:hAnsi="Times New Roman"/>
          <w:sz w:val="24"/>
          <w:szCs w:val="24"/>
          <w:lang w:val="lt-LT"/>
        </w:rPr>
      </w:pPr>
      <w:r>
        <w:rPr>
          <w:rFonts w:ascii="Times New Roman" w:hAnsi="Times New Roman"/>
          <w:sz w:val="24"/>
          <w:szCs w:val="24"/>
          <w:lang w:val="lt-LT"/>
        </w:rPr>
        <w:t>5. Išmanymas pedagoginio vertinimo metodikų, gebėjimas atlikti pedagoginį mokinių vertinimą, nustatyti jų žinių, mokėjimų, įgūdžių, gebėjimų lygį ir jų atitikimą ugdymo programoms bei specialiuosius ugdymosi poreikius, įvertinti pažangą.</w:t>
      </w:r>
    </w:p>
    <w:p>
      <w:pPr>
        <w:pStyle w:val="Bodytext"/>
        <w:ind w:firstLine="720"/>
        <w:rPr>
          <w:rFonts w:ascii="Times New Roman" w:hAnsi="Times New Roman"/>
          <w:sz w:val="24"/>
          <w:szCs w:val="24"/>
          <w:lang w:val="lt-LT"/>
        </w:rPr>
      </w:pPr>
      <w:r>
        <w:rPr>
          <w:rFonts w:ascii="Times New Roman" w:hAnsi="Times New Roman"/>
          <w:sz w:val="24"/>
          <w:szCs w:val="24"/>
          <w:lang w:val="lt-LT"/>
        </w:rPr>
        <w:t>6. Išmanymas specialiųjų poreikių mokinių ugdymo metodų, gebėjimas juos taikyti padedant specialiųjų poreikių mokiniams įsisavinti mokomąją medžiagą ir lavinant jų sutrikusias funkcijas.</w:t>
      </w:r>
    </w:p>
    <w:p>
      <w:pPr>
        <w:pStyle w:val="Bodytext"/>
        <w:ind w:firstLine="720"/>
        <w:rPr>
          <w:rFonts w:ascii="Times New Roman" w:hAnsi="Times New Roman"/>
          <w:sz w:val="24"/>
          <w:szCs w:val="24"/>
          <w:lang w:val="lt-LT"/>
        </w:rPr>
      </w:pPr>
      <w:r>
        <w:rPr>
          <w:rFonts w:ascii="Times New Roman" w:hAnsi="Times New Roman"/>
          <w:sz w:val="24"/>
          <w:szCs w:val="24"/>
          <w:lang w:val="lt-LT"/>
        </w:rPr>
        <w:t>7. Gebėjimas bendrauti su specialiųjų poreikių mokiniais ir bendradarbiauti su mokytojais, kitais asmenimis, tiesiogiai dalyvaujančiais ugdymo procese, specialiųjų poreikių mokinių tėvais (globėjais, rūpintojais), pedagoginių psichologinių tarnybų, sveikatos priežiūros, švietimo ir kitų įstaigų darbuotojais.</w:t>
      </w:r>
    </w:p>
    <w:p>
      <w:pPr>
        <w:pStyle w:val="Bodytext"/>
        <w:rPr>
          <w:rFonts w:ascii="Times New Roman" w:hAnsi="Times New Roman"/>
          <w:sz w:val="24"/>
          <w:szCs w:val="24"/>
          <w:lang w:val="lt-LT"/>
        </w:rPr>
      </w:pPr>
      <w:r>
        <w:rPr>
          <w:rFonts w:ascii="Times New Roman" w:hAnsi="Times New Roman"/>
          <w:sz w:val="24"/>
          <w:szCs w:val="24"/>
          <w:lang w:val="lt-LT"/>
        </w:rPr>
      </w:r>
    </w:p>
    <w:p>
      <w:pPr>
        <w:pStyle w:val="Default"/>
        <w:jc w:val="center"/>
        <w:rPr/>
      </w:pPr>
      <w:r>
        <w:rPr>
          <w:b/>
          <w:bCs/>
        </w:rPr>
        <w:t>III SKYRIUS</w:t>
      </w:r>
    </w:p>
    <w:p>
      <w:pPr>
        <w:pStyle w:val="Default"/>
        <w:jc w:val="center"/>
        <w:rPr>
          <w:b/>
          <w:b/>
          <w:bCs/>
        </w:rPr>
      </w:pPr>
      <w:r>
        <w:rPr>
          <w:b/>
          <w:bCs/>
        </w:rPr>
        <w:t>ŠIAS PAREIGAS EINANČIO DARBUOTOJO FUNKCIJOS</w:t>
      </w:r>
    </w:p>
    <w:p>
      <w:pPr>
        <w:pStyle w:val="Default"/>
        <w:jc w:val="center"/>
        <w:rPr>
          <w:b/>
          <w:b/>
          <w:bCs/>
        </w:rPr>
      </w:pPr>
      <w:r>
        <w:rPr>
          <w:b/>
          <w:bCs/>
        </w:rPr>
      </w:r>
    </w:p>
    <w:p>
      <w:pPr>
        <w:pStyle w:val="Bodytext"/>
        <w:ind w:firstLine="720"/>
        <w:rPr>
          <w:rFonts w:ascii="Times New Roman" w:hAnsi="Times New Roman"/>
          <w:sz w:val="24"/>
          <w:szCs w:val="24"/>
          <w:lang w:val="lt-LT"/>
        </w:rPr>
      </w:pPr>
      <w:r>
        <w:rPr>
          <w:rFonts w:ascii="Times New Roman" w:hAnsi="Times New Roman"/>
          <w:sz w:val="24"/>
          <w:szCs w:val="24"/>
          <w:lang w:val="lt-LT"/>
        </w:rPr>
        <w:t>8. Atlieka pedagoginį mokinių vertinimą, nustato mokinių žinių, mokėjimų, įgūdžių, gebėjimų lygį ir jų atitikimą ugdymo programoms bei įvertina pažangą mokykloje ar, esant žymiai ribotam mokinio mobilumui dėl ligos ar patologinės būklės, – mokinio namuose.</w:t>
      </w:r>
    </w:p>
    <w:p>
      <w:pPr>
        <w:pStyle w:val="Bodytext"/>
        <w:ind w:firstLine="720"/>
        <w:rPr>
          <w:rFonts w:ascii="Times New Roman" w:hAnsi="Times New Roman"/>
          <w:sz w:val="24"/>
          <w:szCs w:val="24"/>
          <w:lang w:val="lt-LT"/>
        </w:rPr>
      </w:pPr>
      <w:r>
        <w:rPr>
          <w:rFonts w:ascii="Times New Roman" w:hAnsi="Times New Roman"/>
          <w:sz w:val="24"/>
          <w:szCs w:val="24"/>
          <w:lang w:val="lt-LT"/>
        </w:rPr>
        <w:t>9. Bendradarbiaudamas su mokytojais, specialiųjų poreikių mokinių tėvais (globėjais, rūpintojais), kitais asmenimis, tiesiogiai dalyvaujančiais ugdymo procese, mokyklą aptarnaujančios pedagoginės psichologinės tarnybos specialistais, numato ugdymo tikslus ir uždavinius bei jų pasiekimo būdus ir metodus, atitinkančius specialiųjų poreikių mokinių poreikius bei galimybes, ir juos taiko.</w:t>
      </w:r>
    </w:p>
    <w:p>
      <w:pPr>
        <w:pStyle w:val="Bodytext"/>
        <w:ind w:firstLine="720"/>
        <w:rPr>
          <w:rFonts w:ascii="Times New Roman" w:hAnsi="Times New Roman"/>
          <w:sz w:val="24"/>
          <w:szCs w:val="24"/>
          <w:lang w:val="lt-LT"/>
        </w:rPr>
      </w:pPr>
      <w:r>
        <w:rPr>
          <w:rFonts w:ascii="Times New Roman" w:hAnsi="Times New Roman"/>
          <w:sz w:val="24"/>
          <w:szCs w:val="24"/>
          <w:lang w:val="lt-LT"/>
        </w:rPr>
        <w:t>10. Rengia sutrikusių funkcijų lavinimo individualiąsias, pogrupines ir grupines programas (tik dirbantis mokykloje, vykdančioje ikimokyklinio, priešmokyklinio ugdymo programas), veiklos ataskaitą.</w:t>
      </w:r>
    </w:p>
    <w:p>
      <w:pPr>
        <w:pStyle w:val="Bodytext"/>
        <w:ind w:firstLine="720"/>
        <w:rPr>
          <w:rFonts w:ascii="Times New Roman" w:hAnsi="Times New Roman"/>
          <w:sz w:val="24"/>
          <w:szCs w:val="24"/>
          <w:lang w:val="lt-LT"/>
        </w:rPr>
      </w:pPr>
      <w:r>
        <w:rPr>
          <w:rFonts w:ascii="Times New Roman" w:hAnsi="Times New Roman"/>
          <w:sz w:val="24"/>
          <w:szCs w:val="24"/>
          <w:lang w:val="lt-LT"/>
        </w:rPr>
        <w:t>11. Padeda specialiųjų poreikių mokiniams įsisavinti ugdymo turinį (specialiojo pedagogo kabinete ar grupėje/klasėje) ir lavina jų sutrikusias funkcijas, atsižvelgdamas į kiekvieno specialiųjų poreikių mokinio gebėjimus, ugdymosi galimybes, mokymosi ypatumus.</w:t>
      </w:r>
    </w:p>
    <w:p>
      <w:pPr>
        <w:pStyle w:val="Bodytext"/>
        <w:ind w:firstLine="720"/>
        <w:rPr>
          <w:rFonts w:ascii="Times New Roman" w:hAnsi="Times New Roman"/>
          <w:sz w:val="24"/>
          <w:szCs w:val="24"/>
          <w:lang w:val="lt-LT"/>
        </w:rPr>
      </w:pPr>
      <w:r>
        <w:rPr>
          <w:rFonts w:ascii="Times New Roman" w:hAnsi="Times New Roman"/>
          <w:sz w:val="24"/>
          <w:szCs w:val="24"/>
          <w:lang w:val="lt-LT"/>
        </w:rPr>
        <w:t>12. Pataria mokytojams, kaip pritaikyti specialiųjų poreikių mokiniams mokomąją medžiagą ir mokymo priemones, rengti ugdymo programas.</w:t>
      </w:r>
    </w:p>
    <w:p>
      <w:pPr>
        <w:pStyle w:val="Bodytext"/>
        <w:ind w:firstLine="720"/>
        <w:rPr>
          <w:rFonts w:ascii="Times New Roman" w:hAnsi="Times New Roman"/>
          <w:sz w:val="24"/>
          <w:szCs w:val="24"/>
          <w:lang w:val="lt-LT"/>
        </w:rPr>
      </w:pPr>
      <w:r>
        <w:rPr>
          <w:rFonts w:ascii="Times New Roman" w:hAnsi="Times New Roman"/>
          <w:sz w:val="24"/>
          <w:szCs w:val="24"/>
          <w:lang w:val="lt-LT"/>
        </w:rPr>
        <w:t>13. Teikia metodinę pagalbą mokytojams, specialiųjų poreikių mokinių tėvams (globėjams, rūpintojams) ir kitiems asmenims, tiesiogiai dalyvaujantiems ugdymo procese, ir juos konsultuoja specialiųjų poreikių mokinių ugdymo klausimais.</w:t>
      </w:r>
    </w:p>
    <w:p>
      <w:pPr>
        <w:pStyle w:val="Bodytext"/>
        <w:ind w:firstLine="720"/>
        <w:rPr>
          <w:rFonts w:ascii="Times New Roman" w:hAnsi="Times New Roman"/>
          <w:sz w:val="24"/>
          <w:szCs w:val="24"/>
          <w:lang w:val="lt-LT"/>
        </w:rPr>
      </w:pPr>
      <w:r>
        <w:rPr>
          <w:rFonts w:ascii="Times New Roman" w:hAnsi="Times New Roman"/>
          <w:sz w:val="24"/>
          <w:szCs w:val="24"/>
          <w:lang w:val="lt-LT"/>
        </w:rPr>
        <w:t>14. Naudoja ugdymo procese mokymo priemones atsižvelgdamas į specialiųjų poreikių mokinių amžių, specialiuosius ugdymosi poreikius, individualius gebėjimus ir ugdymo turinį.</w:t>
      </w:r>
    </w:p>
    <w:p>
      <w:pPr>
        <w:pStyle w:val="Bodytext"/>
        <w:ind w:firstLine="720"/>
        <w:rPr>
          <w:rFonts w:ascii="Times New Roman" w:hAnsi="Times New Roman"/>
          <w:sz w:val="24"/>
          <w:szCs w:val="24"/>
          <w:lang w:val="lt-LT"/>
        </w:rPr>
      </w:pPr>
      <w:r>
        <w:rPr>
          <w:rFonts w:ascii="Times New Roman" w:hAnsi="Times New Roman"/>
          <w:sz w:val="24"/>
          <w:szCs w:val="24"/>
          <w:lang w:val="lt-LT"/>
        </w:rPr>
        <w:t>15. Tvarko ir pildo savo darbo dokumentus.</w:t>
      </w:r>
    </w:p>
    <w:p>
      <w:pPr>
        <w:pStyle w:val="Bodytext"/>
        <w:ind w:firstLine="720"/>
        <w:rPr>
          <w:rFonts w:ascii="Times New Roman" w:hAnsi="Times New Roman"/>
          <w:sz w:val="24"/>
          <w:szCs w:val="24"/>
          <w:lang w:val="lt-LT"/>
        </w:rPr>
      </w:pPr>
      <w:r>
        <w:rPr>
          <w:rFonts w:ascii="Times New Roman" w:hAnsi="Times New Roman"/>
          <w:sz w:val="24"/>
          <w:szCs w:val="24"/>
          <w:lang w:val="lt-LT"/>
        </w:rPr>
        <w:t>16. Dalyvauja gimnazijos vaiko gerovės komisijos veikloje.</w:t>
      </w:r>
    </w:p>
    <w:p>
      <w:pPr>
        <w:pStyle w:val="Bodytext"/>
        <w:ind w:firstLine="720"/>
        <w:rPr>
          <w:rFonts w:ascii="Times New Roman" w:hAnsi="Times New Roman"/>
          <w:sz w:val="24"/>
          <w:szCs w:val="24"/>
          <w:lang w:val="lt-LT"/>
        </w:rPr>
      </w:pPr>
      <w:r>
        <w:rPr>
          <w:rFonts w:ascii="Times New Roman" w:hAnsi="Times New Roman"/>
          <w:sz w:val="24"/>
          <w:szCs w:val="24"/>
          <w:lang w:val="lt-LT"/>
        </w:rPr>
        <w:t>17. Taiko savo darbe specialiosios pedagogikos naujoves.</w:t>
      </w:r>
    </w:p>
    <w:p>
      <w:pPr>
        <w:pStyle w:val="Bodytext"/>
        <w:ind w:firstLine="720"/>
        <w:rPr>
          <w:rFonts w:ascii="Times New Roman" w:hAnsi="Times New Roman"/>
          <w:sz w:val="24"/>
          <w:szCs w:val="24"/>
          <w:lang w:val="lt-LT"/>
        </w:rPr>
      </w:pPr>
      <w:r>
        <w:rPr>
          <w:rFonts w:ascii="Times New Roman" w:hAnsi="Times New Roman"/>
          <w:sz w:val="24"/>
          <w:szCs w:val="24"/>
          <w:lang w:val="lt-LT"/>
        </w:rPr>
        <w:t>18. Šviečia bendruomenę specialiųjų poreikių mokinių ugdymo, specialiosios pedagoginės pagalbos teikimo klausimais, formuoja  bendruomenės ir visuomenės teigiamą požiūrį į specialiųjų poreikių mokinius;</w:t>
      </w:r>
    </w:p>
    <w:p>
      <w:pPr>
        <w:pStyle w:val="Bodytext"/>
        <w:ind w:firstLine="720"/>
        <w:rPr>
          <w:rFonts w:ascii="Times New Roman" w:hAnsi="Times New Roman"/>
          <w:sz w:val="24"/>
          <w:szCs w:val="24"/>
          <w:lang w:val="lt-LT"/>
        </w:rPr>
      </w:pPr>
      <w:r>
        <w:rPr>
          <w:rFonts w:ascii="Times New Roman" w:hAnsi="Times New Roman"/>
          <w:sz w:val="24"/>
          <w:szCs w:val="24"/>
          <w:lang w:val="lt-LT"/>
        </w:rPr>
        <w:t>19. Vykdo kitus administracijos pavedimus, susijusius su specialiojo pedagogo pareigomis, ir atlieka kitus netiesioginius su mokiniais darbus, kuriuos įsakymu nustato direktorius.</w:t>
      </w:r>
    </w:p>
    <w:p>
      <w:pPr>
        <w:pStyle w:val="Bodytext"/>
        <w:ind w:firstLine="720"/>
        <w:rPr>
          <w:rFonts w:ascii="Times New Roman" w:hAnsi="Times New Roman"/>
          <w:sz w:val="24"/>
          <w:szCs w:val="24"/>
          <w:lang w:val="lt-LT"/>
        </w:rPr>
      </w:pPr>
      <w:r>
        <w:rPr>
          <w:rFonts w:ascii="Times New Roman" w:hAnsi="Times New Roman"/>
          <w:sz w:val="24"/>
          <w:szCs w:val="24"/>
          <w:lang w:val="lt-LT"/>
        </w:rPr>
      </w:r>
    </w:p>
    <w:p>
      <w:pPr>
        <w:pStyle w:val="Antrat2"/>
        <w:spacing w:lineRule="auto" w:line="360" w:before="0" w:after="0"/>
        <w:jc w:val="center"/>
        <w:rPr>
          <w:rFonts w:ascii="Times New Roman" w:hAnsi="Times New Roman" w:cs="Times New Roman"/>
          <w:i w:val="false"/>
          <w:i w:val="false"/>
          <w:sz w:val="24"/>
          <w:szCs w:val="24"/>
        </w:rPr>
      </w:pPr>
      <w:r>
        <w:rPr>
          <w:rFonts w:cs="Times New Roman" w:ascii="Times New Roman" w:hAnsi="Times New Roman"/>
          <w:i w:val="false"/>
          <w:sz w:val="24"/>
          <w:szCs w:val="24"/>
        </w:rPr>
        <w:t>IV ATSAKOMYBĖ IR ATSKAITOMYBĖ</w:t>
      </w:r>
    </w:p>
    <w:p>
      <w:pPr>
        <w:pStyle w:val="Default"/>
        <w:tabs>
          <w:tab w:val="clear" w:pos="1296"/>
          <w:tab w:val="left" w:pos="1701" w:leader="none"/>
        </w:tabs>
        <w:spacing w:lineRule="auto" w:line="276"/>
        <w:ind w:firstLine="709"/>
        <w:jc w:val="both"/>
        <w:rPr/>
      </w:pPr>
      <w:r>
        <w:rPr/>
        <w:t xml:space="preserve">20. Specialusis pedagogas pavaldus direktoriaus pavaduotojui ugdymui, už savo veiklą atsiskaito mokyklos direktoriui. </w:t>
      </w:r>
    </w:p>
    <w:p>
      <w:pPr>
        <w:pStyle w:val="Default"/>
        <w:tabs>
          <w:tab w:val="clear" w:pos="1296"/>
          <w:tab w:val="left" w:pos="1701" w:leader="none"/>
        </w:tabs>
        <w:spacing w:lineRule="auto" w:line="276"/>
        <w:ind w:firstLine="709"/>
        <w:jc w:val="both"/>
        <w:rPr>
          <w:color w:val="000000" w:themeColor="text1"/>
        </w:rPr>
      </w:pPr>
      <w:r>
        <w:rPr/>
        <w:t xml:space="preserve">21. Specialusis pedagogas </w:t>
      </w:r>
      <w:r>
        <w:rPr>
          <w:color w:val="000000" w:themeColor="text1"/>
        </w:rPr>
        <w:t xml:space="preserve">aktų nustatyta tvarka atsako už: </w:t>
      </w:r>
    </w:p>
    <w:p>
      <w:pPr>
        <w:pStyle w:val="Default"/>
        <w:tabs>
          <w:tab w:val="clear" w:pos="1296"/>
          <w:tab w:val="left" w:pos="1701" w:leader="none"/>
        </w:tabs>
        <w:spacing w:lineRule="auto" w:line="276" w:before="0" w:after="27"/>
        <w:ind w:firstLine="709"/>
        <w:jc w:val="both"/>
        <w:rPr>
          <w:color w:val="000000" w:themeColor="text1"/>
        </w:rPr>
      </w:pPr>
      <w:r>
        <w:rPr>
          <w:color w:val="000000" w:themeColor="text1"/>
        </w:rPr>
        <w:t xml:space="preserve">21.1. Europos Sąjungos reglamentų, Lietuvos Respublikos įstatymų, kitų teisės aktų įgyvendinimą savo pareigų ribose, šio pareigybės aprašymo, mokyklos nuostatų, mokyklos darbo tvarkos taisyklių, mokytojo etikos normų laikymąsi; </w:t>
      </w:r>
    </w:p>
    <w:p>
      <w:pPr>
        <w:pStyle w:val="Default"/>
        <w:tabs>
          <w:tab w:val="clear" w:pos="1296"/>
          <w:tab w:val="left" w:pos="1701" w:leader="none"/>
        </w:tabs>
        <w:spacing w:lineRule="auto" w:line="276"/>
        <w:ind w:firstLine="709"/>
        <w:jc w:val="both"/>
        <w:rPr>
          <w:color w:val="000000" w:themeColor="text1"/>
        </w:rPr>
      </w:pPr>
      <w:r>
        <w:rPr>
          <w:color w:val="000000" w:themeColor="text1"/>
        </w:rPr>
        <w:t xml:space="preserve">21.2. tinkamą priskirtų funkcijų, tiesioginio vadovo pavedimų atlikimą; </w:t>
      </w:r>
    </w:p>
    <w:p>
      <w:pPr>
        <w:pStyle w:val="Default"/>
        <w:tabs>
          <w:tab w:val="clear" w:pos="1296"/>
          <w:tab w:val="left" w:pos="1701" w:leader="none"/>
        </w:tabs>
        <w:spacing w:lineRule="auto" w:line="276"/>
        <w:ind w:firstLine="709"/>
        <w:jc w:val="both"/>
        <w:rPr>
          <w:color w:val="000000" w:themeColor="text1"/>
        </w:rPr>
      </w:pPr>
      <w:r>
        <w:rPr>
          <w:color w:val="000000" w:themeColor="text1"/>
        </w:rPr>
        <w:t xml:space="preserve">21.3. asmens duomenų apsaugą 2016 m. balandžio 27 d. Europos Parlamento ir Tarybos reglamento (ES) 2016/679 dėl fizinių asmenų apsaugos tvarkant asmens duomenis ir dėl laisvo tokių duomenų judėjimo ir kuriuo panaikinama Direktyva 95/46/EB bei Lietuvos Respublikos teisės aktų nustatyta tvarka. </w:t>
      </w:r>
    </w:p>
    <w:p>
      <w:pPr>
        <w:pStyle w:val="Default"/>
        <w:tabs>
          <w:tab w:val="clear" w:pos="1296"/>
          <w:tab w:val="left" w:pos="1701" w:leader="none"/>
        </w:tabs>
        <w:spacing w:lineRule="auto" w:line="276"/>
        <w:ind w:firstLine="709"/>
        <w:jc w:val="both"/>
        <w:rPr>
          <w:color w:val="000000" w:themeColor="text1"/>
        </w:rPr>
      </w:pPr>
      <w:r>
        <w:rPr>
          <w:color w:val="000000" w:themeColor="text1"/>
        </w:rPr>
        <w:t xml:space="preserve">22. </w:t>
      </w:r>
      <w:r>
        <w:rPr/>
        <w:t>Specialusis</w:t>
      </w:r>
      <w:r>
        <w:rPr>
          <w:color w:val="000000" w:themeColor="text1"/>
        </w:rPr>
        <w:t xml:space="preserve"> pedagogas už savo pareigų netinkamą vykdymą atsako darbo tvarkos taisyklių ir Lietuvos Respublikos įstatymų nustatyta tvarka. </w:t>
      </w:r>
    </w:p>
    <w:p>
      <w:pPr>
        <w:pStyle w:val="Default"/>
        <w:tabs>
          <w:tab w:val="clear" w:pos="1296"/>
          <w:tab w:val="left" w:pos="1701" w:leader="none"/>
        </w:tabs>
        <w:spacing w:lineRule="auto" w:line="276"/>
        <w:ind w:firstLine="709"/>
        <w:jc w:val="center"/>
        <w:rPr>
          <w:color w:val="000000" w:themeColor="text1"/>
        </w:rPr>
      </w:pPr>
      <w:r>
        <w:rPr>
          <w:color w:val="000000" w:themeColor="text1"/>
        </w:rPr>
        <w:t>__________________________</w:t>
      </w:r>
    </w:p>
    <w:p>
      <w:pPr>
        <w:pStyle w:val="Normal"/>
        <w:spacing w:before="28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Pareigybės aprašą parengė direktorius Artūras Čepulis</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Susipažinau ir sutinku</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(parašas)</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(vardas ir pavardė)</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(data)</w:t>
      </w:r>
    </w:p>
    <w:sectPr>
      <w:type w:val="nextPage"/>
      <w:pgSz w:w="11906" w:h="16838"/>
      <w:pgMar w:left="1701" w:right="567" w:header="0" w:top="170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TimesLT">
    <w:charset w:val="00"/>
    <w:family w:val="roman"/>
    <w:pitch w:val="variable"/>
  </w:font>
</w:fonts>
</file>

<file path=word/settings.xml><?xml version="1.0" encoding="utf-8"?>
<w:settings xmlns:w="http://schemas.openxmlformats.org/wordprocessingml/2006/main">
  <w:zoom w:percent="120"/>
  <w:defaultTabStop w:val="1296"/>
  <w:autoHyphenation w:val="true"/>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7178"/>
    <w:pPr>
      <w:widowControl/>
      <w:bidi w:val="0"/>
      <w:spacing w:beforeAutospacing="1"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Antrat2">
    <w:name w:val="Heading 2"/>
    <w:basedOn w:val="Normal"/>
    <w:next w:val="Normal"/>
    <w:link w:val="Antrat2Diagrama"/>
    <w:qFormat/>
    <w:rsid w:val="00e37178"/>
    <w:pPr>
      <w:keepNext w:val="true"/>
      <w:spacing w:beforeAutospacing="0" w:before="240" w:after="60"/>
      <w:outlineLvl w:val="1"/>
    </w:pPr>
    <w:rPr>
      <w:rFonts w:ascii="Arial" w:hAnsi="Arial" w:eastAsia="Times New Roman" w:cs="Arial"/>
      <w:b/>
      <w:bCs/>
      <w:i/>
      <w:iCs/>
      <w:sz w:val="28"/>
      <w:szCs w:val="28"/>
      <w:lang w:eastAsia="lt-LT"/>
    </w:rPr>
  </w:style>
  <w:style w:type="character" w:styleId="DefaultParagraphFont" w:default="1">
    <w:name w:val="Default Paragraph Font"/>
    <w:uiPriority w:val="1"/>
    <w:semiHidden/>
    <w:unhideWhenUsed/>
    <w:qFormat/>
    <w:rPr/>
  </w:style>
  <w:style w:type="character" w:styleId="PavadinimasDiagrama" w:customStyle="1">
    <w:name w:val="Pavadinimas Diagrama"/>
    <w:basedOn w:val="DefaultParagraphFont"/>
    <w:link w:val="Pavadinimas"/>
    <w:uiPriority w:val="99"/>
    <w:qFormat/>
    <w:rsid w:val="00e37178"/>
    <w:rPr>
      <w:rFonts w:ascii="Times New Roman" w:hAnsi="Times New Roman" w:eastAsia="Times New Roman" w:cs="Times New Roman"/>
      <w:sz w:val="24"/>
      <w:szCs w:val="20"/>
      <w:lang w:val="en-US"/>
    </w:rPr>
  </w:style>
  <w:style w:type="character" w:styleId="SubtleEmphasis">
    <w:name w:val="Subtle Emphasis"/>
    <w:basedOn w:val="DefaultParagraphFont"/>
    <w:uiPriority w:val="99"/>
    <w:qFormat/>
    <w:rsid w:val="00e37178"/>
    <w:rPr>
      <w:rFonts w:cs="Times New Roman"/>
      <w:i/>
      <w:iCs/>
      <w:color w:val="404040"/>
    </w:rPr>
  </w:style>
  <w:style w:type="character" w:styleId="Antrat2Diagrama" w:customStyle="1">
    <w:name w:val="Antraštė 2 Diagrama"/>
    <w:basedOn w:val="DefaultParagraphFont"/>
    <w:link w:val="Antrat2"/>
    <w:qFormat/>
    <w:rsid w:val="00e37178"/>
    <w:rPr>
      <w:rFonts w:ascii="Arial" w:hAnsi="Arial" w:eastAsia="Times New Roman" w:cs="Arial"/>
      <w:b/>
      <w:bCs/>
      <w:i/>
      <w:iCs/>
      <w:sz w:val="28"/>
      <w:szCs w:val="28"/>
      <w:lang w:eastAsia="lt-LT"/>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Dokumentopavadinimas">
    <w:name w:val="Title"/>
    <w:basedOn w:val="Normal"/>
    <w:link w:val="PavadinimasDiagrama"/>
    <w:uiPriority w:val="99"/>
    <w:qFormat/>
    <w:rsid w:val="00e37178"/>
    <w:pPr>
      <w:spacing w:beforeAutospacing="0" w:before="0" w:after="0"/>
      <w:jc w:val="center"/>
    </w:pPr>
    <w:rPr>
      <w:rFonts w:ascii="Times New Roman" w:hAnsi="Times New Roman" w:eastAsia="Times New Roman" w:cs="Times New Roman"/>
      <w:sz w:val="24"/>
      <w:szCs w:val="20"/>
      <w:lang w:val="en-US"/>
    </w:rPr>
  </w:style>
  <w:style w:type="paragraph" w:styleId="Default" w:customStyle="1">
    <w:name w:val="Default"/>
    <w:qFormat/>
    <w:rsid w:val="00e37178"/>
    <w:pPr>
      <w:widowControl/>
      <w:bidi w:val="0"/>
      <w:spacing w:beforeAutospacing="0" w:before="0" w:after="0"/>
      <w:jc w:val="left"/>
    </w:pPr>
    <w:rPr>
      <w:rFonts w:ascii="Times New Roman" w:hAnsi="Times New Roman" w:cs="Times New Roman" w:eastAsia="Calibri"/>
      <w:color w:val="000000"/>
      <w:kern w:val="0"/>
      <w:sz w:val="24"/>
      <w:szCs w:val="24"/>
      <w:lang w:val="lt-LT" w:eastAsia="en-US" w:bidi="ar-SA"/>
    </w:rPr>
  </w:style>
  <w:style w:type="paragraph" w:styleId="Bodytext" w:customStyle="1">
    <w:name w:val="Body text"/>
    <w:qFormat/>
    <w:rsid w:val="00e37178"/>
    <w:pPr>
      <w:widowControl/>
      <w:bidi w:val="0"/>
      <w:spacing w:beforeAutospacing="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LibreOffice/6.4.2.2$Windows_X86_64 LibreOffice_project/4e471d8c02c9c90f512f7f9ead8875b57fcb1ec3</Application>
  <Pages>3</Pages>
  <Words>569</Words>
  <Characters>4477</Characters>
  <CharactersWithSpaces>5071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2020-02-25T11:36:00Z</dcterms:created>
  <dc:creator>direktorius</dc:creator>
  <dc:description/>
  <dc:language>lt-LT</dc:language>
  <cp:lastModifiedBy>Vartotojas</cp:lastModifiedBy>
  <dcterms:modified xsi:type="dcterms:W3CDTF">2020-02-25T11:36:00Z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